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Lines="50" w:line="240" w:lineRule="atLeast"/>
        <w:jc w:val="lef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tbl>
      <w:tblPr>
        <w:tblStyle w:val="3"/>
        <w:tblW w:w="8345" w:type="dxa"/>
        <w:jc w:val="center"/>
        <w:tblInd w:w="0" w:type="dxa"/>
        <w:tblLayout w:type="fixed"/>
        <w:tblCellMar>
          <w:top w:w="0" w:type="dxa"/>
          <w:left w:w="108" w:type="dxa"/>
          <w:bottom w:w="0" w:type="dxa"/>
          <w:right w:w="108" w:type="dxa"/>
        </w:tblCellMar>
      </w:tblPr>
      <w:tblGrid>
        <w:gridCol w:w="6638"/>
        <w:gridCol w:w="1707"/>
      </w:tblGrid>
      <w:tr>
        <w:tblPrEx>
          <w:tblLayout w:type="fixed"/>
          <w:tblCellMar>
            <w:top w:w="0" w:type="dxa"/>
            <w:left w:w="108" w:type="dxa"/>
            <w:bottom w:w="0" w:type="dxa"/>
            <w:right w:w="108" w:type="dxa"/>
          </w:tblCellMar>
        </w:tblPrEx>
        <w:trPr>
          <w:jc w:val="center"/>
        </w:trPr>
        <w:tc>
          <w:tcPr>
            <w:tcW w:w="6638" w:type="dxa"/>
            <w:tcBorders>
              <w:top w:val="nil"/>
              <w:left w:val="nil"/>
              <w:bottom w:val="nil"/>
              <w:right w:val="nil"/>
            </w:tcBorders>
            <w:vAlign w:val="center"/>
          </w:tcPr>
          <w:p>
            <w:pPr>
              <w:overflowPunct w:val="0"/>
              <w:autoSpaceDE w:val="0"/>
              <w:autoSpaceDN w:val="0"/>
              <w:snapToGrid w:val="0"/>
              <w:spacing w:before="740" w:line="900" w:lineRule="exact"/>
              <w:jc w:val="distribute"/>
              <w:rPr>
                <w:rFonts w:ascii="Times New Roman" w:hAnsi="Times New Roman" w:eastAsia="方正小标宋_GBK"/>
                <w:b/>
                <w:snapToGrid w:val="0"/>
                <w:w w:val="82"/>
                <w:kern w:val="0"/>
                <w:sz w:val="76"/>
                <w:szCs w:val="20"/>
              </w:rPr>
            </w:pPr>
            <w:r>
              <w:rPr>
                <w:rFonts w:hint="eastAsia" w:ascii="Times New Roman" w:hAnsi="Times New Roman" w:eastAsia="方正小标宋_GBK"/>
                <w:b/>
                <w:snapToGrid w:val="0"/>
                <w:w w:val="82"/>
                <w:kern w:val="0"/>
                <w:sz w:val="76"/>
                <w:szCs w:val="20"/>
              </w:rPr>
              <w:t>江苏省科学技术厅</w:t>
            </w:r>
          </w:p>
          <w:p>
            <w:pPr>
              <w:overflowPunct w:val="0"/>
              <w:autoSpaceDE w:val="0"/>
              <w:autoSpaceDN w:val="0"/>
              <w:snapToGrid w:val="0"/>
              <w:spacing w:line="900" w:lineRule="exact"/>
              <w:jc w:val="distribute"/>
              <w:rPr>
                <w:rFonts w:ascii="Times New Roman" w:hAnsi="Times New Roman" w:eastAsia="方正小标宋_GBK"/>
                <w:b/>
                <w:snapToGrid w:val="0"/>
                <w:spacing w:val="-46"/>
                <w:w w:val="82"/>
                <w:kern w:val="76"/>
                <w:sz w:val="76"/>
                <w:szCs w:val="20"/>
              </w:rPr>
            </w:pPr>
            <w:r>
              <w:rPr>
                <w:rFonts w:hint="eastAsia" w:ascii="Times New Roman" w:hAnsi="Times New Roman" w:eastAsia="方正小标宋_GBK"/>
                <w:b/>
                <w:snapToGrid w:val="0"/>
                <w:spacing w:val="-46"/>
                <w:w w:val="82"/>
                <w:kern w:val="76"/>
                <w:sz w:val="76"/>
                <w:szCs w:val="20"/>
              </w:rPr>
              <w:t>江苏省商务厅</w:t>
            </w:r>
          </w:p>
          <w:p>
            <w:pPr>
              <w:overflowPunct w:val="0"/>
              <w:autoSpaceDE w:val="0"/>
              <w:autoSpaceDN w:val="0"/>
              <w:snapToGrid w:val="0"/>
              <w:spacing w:line="900" w:lineRule="exact"/>
              <w:jc w:val="distribute"/>
              <w:rPr>
                <w:rFonts w:ascii="Times New Roman" w:hAnsi="Times New Roman" w:eastAsia="方正小标宋_GBK"/>
                <w:b/>
                <w:snapToGrid w:val="0"/>
                <w:w w:val="82"/>
                <w:kern w:val="0"/>
                <w:sz w:val="76"/>
                <w:szCs w:val="20"/>
              </w:rPr>
            </w:pPr>
            <w:r>
              <w:rPr>
                <w:rFonts w:hint="eastAsia" w:ascii="Times New Roman" w:hAnsi="Times New Roman" w:eastAsia="方正小标宋_GBK"/>
                <w:b/>
                <w:snapToGrid w:val="0"/>
                <w:w w:val="82"/>
                <w:kern w:val="0"/>
                <w:sz w:val="76"/>
                <w:szCs w:val="20"/>
              </w:rPr>
              <w:t>江苏省财政厅</w:t>
            </w:r>
          </w:p>
          <w:p>
            <w:pPr>
              <w:overflowPunct w:val="0"/>
              <w:autoSpaceDE w:val="0"/>
              <w:autoSpaceDN w:val="0"/>
              <w:snapToGrid w:val="0"/>
              <w:spacing w:line="900" w:lineRule="exact"/>
              <w:jc w:val="distribute"/>
              <w:rPr>
                <w:rFonts w:ascii="Times New Roman" w:hAnsi="Times New Roman" w:eastAsia="方正小标宋_GBK"/>
                <w:b/>
                <w:snapToGrid w:val="0"/>
                <w:w w:val="82"/>
                <w:kern w:val="0"/>
                <w:sz w:val="76"/>
                <w:szCs w:val="20"/>
              </w:rPr>
            </w:pPr>
            <w:r>
              <w:rPr>
                <w:rFonts w:hint="eastAsia" w:ascii="Times New Roman" w:hAnsi="Times New Roman" w:eastAsia="方正小标宋_GBK"/>
                <w:b/>
                <w:snapToGrid w:val="0"/>
                <w:spacing w:val="14"/>
                <w:w w:val="65"/>
                <w:kern w:val="0"/>
                <w:sz w:val="76"/>
                <w:szCs w:val="20"/>
              </w:rPr>
              <w:t>国家税务总局江苏省税务</w:t>
            </w:r>
            <w:r>
              <w:rPr>
                <w:rFonts w:hint="eastAsia" w:ascii="Times New Roman" w:hAnsi="Times New Roman" w:eastAsia="方正小标宋_GBK"/>
                <w:b/>
                <w:snapToGrid w:val="0"/>
                <w:spacing w:val="1"/>
                <w:w w:val="65"/>
                <w:kern w:val="0"/>
                <w:sz w:val="76"/>
                <w:szCs w:val="20"/>
              </w:rPr>
              <w:t>局</w:t>
            </w:r>
          </w:p>
          <w:p>
            <w:pPr>
              <w:overflowPunct w:val="0"/>
              <w:autoSpaceDE w:val="0"/>
              <w:autoSpaceDN w:val="0"/>
              <w:snapToGrid w:val="0"/>
              <w:spacing w:line="900" w:lineRule="exact"/>
              <w:jc w:val="distribute"/>
              <w:rPr>
                <w:rFonts w:ascii="Times New Roman" w:hAnsi="Times New Roman" w:eastAsia="方正小标宋_GBK"/>
                <w:b/>
                <w:snapToGrid w:val="0"/>
                <w:spacing w:val="-26"/>
                <w:w w:val="80"/>
                <w:sz w:val="76"/>
                <w:szCs w:val="20"/>
              </w:rPr>
            </w:pPr>
            <w:r>
              <w:rPr>
                <w:rFonts w:hint="eastAsia" w:ascii="Times New Roman" w:hAnsi="Times New Roman" w:eastAsia="方正小标宋_GBK"/>
                <w:b/>
                <w:snapToGrid w:val="0"/>
                <w:spacing w:val="-26"/>
                <w:w w:val="82"/>
                <w:kern w:val="0"/>
                <w:sz w:val="76"/>
                <w:szCs w:val="20"/>
              </w:rPr>
              <w:t>江苏省发展和改革委员会</w:t>
            </w:r>
          </w:p>
        </w:tc>
        <w:tc>
          <w:tcPr>
            <w:tcW w:w="1707" w:type="dxa"/>
            <w:tcBorders>
              <w:top w:val="nil"/>
              <w:left w:val="nil"/>
              <w:bottom w:val="nil"/>
              <w:right w:val="nil"/>
            </w:tcBorders>
            <w:vAlign w:val="center"/>
          </w:tcPr>
          <w:p>
            <w:pPr>
              <w:overflowPunct w:val="0"/>
              <w:autoSpaceDE w:val="0"/>
              <w:autoSpaceDN w:val="0"/>
              <w:snapToGrid w:val="0"/>
              <w:spacing w:before="740" w:line="1300" w:lineRule="exact"/>
              <w:jc w:val="distribute"/>
              <w:rPr>
                <w:rFonts w:ascii="Times New Roman" w:hAnsi="Times New Roman" w:eastAsia="方正小标宋_GBK"/>
                <w:snapToGrid w:val="0"/>
                <w:spacing w:val="-20"/>
                <w:w w:val="65"/>
                <w:kern w:val="0"/>
                <w:sz w:val="116"/>
                <w:szCs w:val="20"/>
              </w:rPr>
            </w:pPr>
            <w:r>
              <w:rPr>
                <w:rFonts w:hint="eastAsia" w:ascii="Times New Roman" w:hAnsi="Times New Roman" w:eastAsia="方正小标宋_GBK"/>
                <w:snapToGrid w:val="0"/>
                <w:spacing w:val="-20"/>
                <w:w w:val="65"/>
                <w:kern w:val="0"/>
                <w:sz w:val="116"/>
                <w:szCs w:val="20"/>
              </w:rPr>
              <w:t>文件</w:t>
            </w:r>
          </w:p>
        </w:tc>
      </w:tr>
    </w:tbl>
    <w:p>
      <w:pPr>
        <w:rPr>
          <w:rFonts w:ascii="Times New Roman" w:hAnsi="Times New Roman" w:eastAsia="方正书宋_GBK"/>
          <w:b/>
          <w:snapToGrid w:val="0"/>
          <w:kern w:val="0"/>
          <w:sz w:val="10"/>
          <w:szCs w:val="20"/>
        </w:rPr>
      </w:pPr>
    </w:p>
    <w:p>
      <w:pPr>
        <w:tabs>
          <w:tab w:val="left" w:pos="8364"/>
        </w:tabs>
        <w:overflowPunct w:val="0"/>
        <w:autoSpaceDE w:val="0"/>
        <w:autoSpaceDN w:val="0"/>
        <w:snapToGrid w:val="0"/>
        <w:spacing w:before="480" w:line="660" w:lineRule="atLeast"/>
        <w:jc w:val="center"/>
        <w:rPr>
          <w:rFonts w:ascii="仿宋_GB2312" w:hAnsi="Times New Roman" w:eastAsia="仿宋_GB2312"/>
          <w:snapToGrid w:val="0"/>
          <w:kern w:val="0"/>
          <w:sz w:val="32"/>
          <w:szCs w:val="20"/>
        </w:rPr>
      </w:pPr>
      <w:r>
        <w:rPr>
          <w:rFonts w:hint="eastAsia" w:ascii="仿宋_GB2312" w:hAnsi="Times New Roman" w:eastAsia="仿宋_GB2312"/>
          <w:snapToGrid w:val="0"/>
          <w:kern w:val="0"/>
          <w:sz w:val="32"/>
          <w:szCs w:val="20"/>
        </w:rPr>
        <w:t>苏科高发〔</w:t>
      </w:r>
      <w:r>
        <w:rPr>
          <w:rFonts w:ascii="仿宋_GB2312" w:hAnsi="Times New Roman" w:eastAsia="仿宋_GB2312"/>
          <w:snapToGrid w:val="0"/>
          <w:kern w:val="0"/>
          <w:sz w:val="32"/>
          <w:szCs w:val="20"/>
        </w:rPr>
        <w:t>2019</w:t>
      </w:r>
      <w:r>
        <w:rPr>
          <w:rFonts w:hint="eastAsia" w:ascii="仿宋_GB2312" w:hAnsi="Times New Roman" w:eastAsia="仿宋_GB2312"/>
          <w:snapToGrid w:val="0"/>
          <w:kern w:val="0"/>
          <w:sz w:val="32"/>
          <w:szCs w:val="20"/>
        </w:rPr>
        <w:t>〕</w:t>
      </w:r>
      <w:r>
        <w:rPr>
          <w:rFonts w:ascii="仿宋_GB2312" w:hAnsi="Times New Roman" w:eastAsia="仿宋_GB2312"/>
          <w:snapToGrid w:val="0"/>
          <w:kern w:val="0"/>
          <w:sz w:val="32"/>
          <w:szCs w:val="20"/>
        </w:rPr>
        <w:t>211</w:t>
      </w:r>
      <w:r>
        <w:rPr>
          <w:rFonts w:hint="eastAsia" w:ascii="仿宋_GB2312" w:hAnsi="Times New Roman" w:eastAsia="仿宋_GB2312"/>
          <w:snapToGrid w:val="0"/>
          <w:kern w:val="0"/>
          <w:sz w:val="32"/>
          <w:szCs w:val="20"/>
        </w:rPr>
        <w:t>号</w:t>
      </w:r>
    </w:p>
    <w:p>
      <w:pPr>
        <w:ind w:firstLine="200" w:firstLineChars="200"/>
        <w:jc w:val="center"/>
        <w:rPr>
          <w:rFonts w:ascii="Times New Roman" w:hAnsi="Times New Roman" w:eastAsia="方正书宋_GBK"/>
          <w:b/>
          <w:snapToGrid w:val="0"/>
          <w:kern w:val="0"/>
          <w:sz w:val="10"/>
          <w:szCs w:val="20"/>
        </w:rPr>
      </w:pPr>
    </w:p>
    <w:p>
      <w:pPr>
        <w:ind w:firstLine="200" w:firstLineChars="200"/>
        <w:jc w:val="center"/>
        <w:rPr>
          <w:rFonts w:ascii="Times New Roman" w:hAnsi="Times New Roman" w:eastAsia="方正小标宋_GBK"/>
          <w:sz w:val="44"/>
          <w:szCs w:val="44"/>
        </w:rPr>
      </w:pPr>
      <w:r>
        <w:rPr>
          <w:rFonts w:ascii="Times New Roman" w:hAnsi="Times New Roman" w:eastAsia="方正书宋_GBK"/>
          <w:b/>
          <w:snapToGrid w:val="0"/>
          <w:kern w:val="0"/>
          <w:sz w:val="10"/>
          <w:szCs w:val="20"/>
        </w:rPr>
        <w:object>
          <v:shape id="_x0000_i1025" o:spt="75" type="#_x0000_t75" style="height:7.2pt;width:391.8pt;" o:ole="t" filled="f" o:preferrelative="t" stroked="f" coordsize="21600,21600">
            <v:path/>
            <v:fill on="f" focussize="0,0"/>
            <v:stroke on="f" joinstyle="miter"/>
            <v:imagedata r:id="rId5" o:title=""/>
            <o:lock v:ext="edit" aspectratio="t"/>
            <w10:wrap type="none"/>
            <w10:anchorlock/>
          </v:shape>
          <o:OLEObject Type="Embed" ProgID="Word.Picture.8" ShapeID="_x0000_i1025" DrawAspect="Content" ObjectID="_1468075725" r:id="rId4">
            <o:LockedField>false</o:LockedField>
          </o:OLEObject>
        </w:object>
      </w:r>
    </w:p>
    <w:p>
      <w:pPr>
        <w:spacing w:beforeLines="50" w:line="59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关于组织申报</w:t>
      </w:r>
      <w:r>
        <w:rPr>
          <w:rFonts w:ascii="Times New Roman" w:hAnsi="Times New Roman" w:eastAsia="方正小标宋_GBK"/>
          <w:sz w:val="44"/>
          <w:szCs w:val="44"/>
        </w:rPr>
        <w:t>2019</w:t>
      </w:r>
      <w:r>
        <w:rPr>
          <w:rFonts w:hint="eastAsia" w:ascii="Times New Roman" w:hAnsi="Times New Roman" w:eastAsia="方正小标宋_GBK"/>
          <w:sz w:val="44"/>
          <w:szCs w:val="44"/>
        </w:rPr>
        <w:t>年度技术先进型</w:t>
      </w:r>
    </w:p>
    <w:p>
      <w:pPr>
        <w:spacing w:line="59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服务企业的通知</w:t>
      </w:r>
    </w:p>
    <w:p>
      <w:pPr>
        <w:spacing w:line="590" w:lineRule="exact"/>
        <w:rPr>
          <w:rFonts w:ascii="Times New Roman" w:hAnsi="Times New Roman" w:eastAsia="等线 Light"/>
          <w:b/>
          <w:sz w:val="36"/>
          <w:szCs w:val="36"/>
        </w:rPr>
      </w:pPr>
    </w:p>
    <w:p>
      <w:pPr>
        <w:spacing w:line="590" w:lineRule="exact"/>
        <w:rPr>
          <w:rFonts w:ascii="仿宋_GB2312" w:hAnsi="Times New Roman" w:eastAsia="仿宋_GB2312"/>
          <w:sz w:val="32"/>
          <w:szCs w:val="32"/>
        </w:rPr>
      </w:pPr>
      <w:r>
        <w:rPr>
          <w:rFonts w:hint="eastAsia" w:ascii="仿宋_GB2312" w:hAnsi="Times New Roman" w:eastAsia="仿宋_GB2312"/>
          <w:sz w:val="32"/>
          <w:szCs w:val="32"/>
        </w:rPr>
        <w:t>各设区市科技局、商务局、财政局、税务局、发展改革委：</w:t>
      </w:r>
    </w:p>
    <w:p>
      <w:pPr>
        <w:spacing w:line="590" w:lineRule="exact"/>
        <w:ind w:firstLine="579" w:firstLineChars="181"/>
        <w:rPr>
          <w:rFonts w:ascii="仿宋_GB2312" w:hAnsi="Times New Roman" w:eastAsia="仿宋_GB2312"/>
          <w:sz w:val="32"/>
          <w:szCs w:val="32"/>
        </w:rPr>
      </w:pPr>
      <w:r>
        <w:rPr>
          <w:rFonts w:hint="eastAsia" w:ascii="仿宋_GB2312" w:hAnsi="Times New Roman" w:eastAsia="仿宋_GB2312"/>
          <w:sz w:val="32"/>
          <w:szCs w:val="32"/>
        </w:rPr>
        <w:t>根据《江苏省技术先进型服务企业认定管理办法（试行）》（苏科技规〔</w:t>
      </w:r>
      <w:r>
        <w:rPr>
          <w:rFonts w:ascii="仿宋_GB2312" w:hAnsi="Times New Roman" w:eastAsia="仿宋_GB2312"/>
          <w:sz w:val="32"/>
          <w:szCs w:val="32"/>
        </w:rPr>
        <w:t>2017</w:t>
      </w:r>
      <w:r>
        <w:rPr>
          <w:rFonts w:hint="eastAsia" w:ascii="仿宋_GB2312" w:hAnsi="Times New Roman" w:eastAsia="仿宋_GB2312"/>
          <w:sz w:val="32"/>
          <w:szCs w:val="32"/>
        </w:rPr>
        <w:t>〕</w:t>
      </w:r>
      <w:r>
        <w:rPr>
          <w:rFonts w:ascii="仿宋_GB2312" w:hAnsi="Times New Roman" w:eastAsia="仿宋_GB2312"/>
          <w:sz w:val="32"/>
          <w:szCs w:val="32"/>
        </w:rPr>
        <w:t>380</w:t>
      </w:r>
      <w:r>
        <w:rPr>
          <w:rFonts w:hint="eastAsia" w:ascii="仿宋_GB2312" w:hAnsi="Times New Roman" w:eastAsia="仿宋_GB2312"/>
          <w:sz w:val="32"/>
          <w:szCs w:val="32"/>
        </w:rPr>
        <w:t>号，以下简称《管理办法》）和《关于将〈技术先进型服务业务领域范围（服务贸易类）〉增补入江苏省技术先进型服务企业业务认定范围的通知》（苏科高发〔</w:t>
      </w:r>
      <w:r>
        <w:rPr>
          <w:rFonts w:ascii="仿宋_GB2312" w:hAnsi="Times New Roman" w:eastAsia="仿宋_GB2312"/>
          <w:sz w:val="32"/>
          <w:szCs w:val="32"/>
        </w:rPr>
        <w:t>2018</w:t>
      </w:r>
      <w:r>
        <w:rPr>
          <w:rFonts w:hint="eastAsia" w:ascii="仿宋_GB2312" w:hAnsi="Times New Roman" w:eastAsia="仿宋_GB2312"/>
          <w:sz w:val="32"/>
          <w:szCs w:val="32"/>
        </w:rPr>
        <w:t>〕</w:t>
      </w:r>
      <w:r>
        <w:rPr>
          <w:rFonts w:ascii="仿宋_GB2312" w:hAnsi="Times New Roman" w:eastAsia="仿宋_GB2312"/>
          <w:sz w:val="32"/>
          <w:szCs w:val="32"/>
        </w:rPr>
        <w:t>195</w:t>
      </w:r>
      <w:r>
        <w:rPr>
          <w:rFonts w:hint="eastAsia" w:ascii="仿宋_GB2312" w:hAnsi="Times New Roman" w:eastAsia="仿宋_GB2312"/>
          <w:sz w:val="32"/>
          <w:szCs w:val="32"/>
        </w:rPr>
        <w:t>号，以下简称《增补通知》），为做好我省</w:t>
      </w:r>
      <w:r>
        <w:rPr>
          <w:rFonts w:ascii="仿宋_GB2312" w:hAnsi="Times New Roman" w:eastAsia="仿宋_GB2312"/>
          <w:sz w:val="32"/>
          <w:szCs w:val="32"/>
        </w:rPr>
        <w:t>2019</w:t>
      </w:r>
      <w:r>
        <w:rPr>
          <w:rFonts w:hint="eastAsia" w:ascii="仿宋_GB2312" w:hAnsi="Times New Roman" w:eastAsia="仿宋_GB2312"/>
          <w:sz w:val="32"/>
          <w:szCs w:val="32"/>
        </w:rPr>
        <w:t>年度技术先进型服务企业认定工作，现将有关事项通知如下：</w:t>
      </w:r>
    </w:p>
    <w:p>
      <w:pPr>
        <w:pStyle w:val="5"/>
        <w:spacing w:line="590" w:lineRule="exact"/>
        <w:ind w:left="640" w:firstLine="0" w:firstLineChars="0"/>
        <w:rPr>
          <w:rFonts w:ascii="黑体" w:hAnsi="黑体" w:eastAsia="黑体"/>
          <w:sz w:val="32"/>
          <w:szCs w:val="32"/>
        </w:rPr>
      </w:pPr>
      <w:r>
        <w:rPr>
          <w:rFonts w:hint="eastAsia" w:ascii="黑体" w:hAnsi="黑体" w:eastAsia="黑体"/>
          <w:sz w:val="32"/>
          <w:szCs w:val="32"/>
        </w:rPr>
        <w:t>一、申报范围</w:t>
      </w:r>
    </w:p>
    <w:p>
      <w:pPr>
        <w:pStyle w:val="5"/>
        <w:spacing w:line="590" w:lineRule="exact"/>
        <w:ind w:firstLine="640"/>
        <w:rPr>
          <w:rFonts w:ascii="仿宋_GB2312" w:hAnsi="Times New Roman" w:eastAsia="仿宋_GB2312"/>
          <w:sz w:val="32"/>
          <w:szCs w:val="32"/>
        </w:rPr>
      </w:pPr>
      <w:r>
        <w:rPr>
          <w:rFonts w:ascii="仿宋_GB2312" w:hAnsi="Times New Roman" w:eastAsia="仿宋_GB2312"/>
          <w:sz w:val="32"/>
          <w:szCs w:val="32"/>
        </w:rPr>
        <w:t xml:space="preserve">1. </w:t>
      </w:r>
      <w:r>
        <w:rPr>
          <w:rFonts w:hint="eastAsia" w:ascii="仿宋_GB2312" w:hAnsi="Times New Roman" w:eastAsia="仿宋_GB2312"/>
          <w:sz w:val="32"/>
          <w:szCs w:val="32"/>
        </w:rPr>
        <w:t>在我省境内注册的法人企业。</w:t>
      </w:r>
    </w:p>
    <w:p>
      <w:pPr>
        <w:pStyle w:val="5"/>
        <w:spacing w:line="590" w:lineRule="exact"/>
        <w:ind w:firstLine="640"/>
        <w:rPr>
          <w:rFonts w:ascii="仿宋_GB2312" w:hAnsi="Times New Roman" w:eastAsia="仿宋_GB2312"/>
          <w:sz w:val="32"/>
          <w:szCs w:val="32"/>
        </w:rPr>
      </w:pPr>
      <w:r>
        <w:rPr>
          <w:rFonts w:ascii="仿宋_GB2312" w:hAnsi="Times New Roman" w:eastAsia="仿宋_GB2312"/>
          <w:sz w:val="32"/>
          <w:szCs w:val="32"/>
        </w:rPr>
        <w:t xml:space="preserve">2. </w:t>
      </w:r>
      <w:r>
        <w:rPr>
          <w:rFonts w:hint="eastAsia" w:ascii="仿宋_GB2312" w:hAnsi="Times New Roman" w:eastAsia="仿宋_GB2312"/>
          <w:sz w:val="32"/>
          <w:szCs w:val="32"/>
        </w:rPr>
        <w:t>经南京、无锡、苏州、南通、镇江五市相关部门认定、至</w:t>
      </w:r>
      <w:r>
        <w:rPr>
          <w:rFonts w:ascii="仿宋_GB2312" w:hAnsi="Times New Roman" w:eastAsia="仿宋_GB2312"/>
          <w:sz w:val="32"/>
          <w:szCs w:val="32"/>
        </w:rPr>
        <w:t>2019</w:t>
      </w:r>
      <w:r>
        <w:rPr>
          <w:rFonts w:hint="eastAsia" w:ascii="仿宋_GB2312" w:hAnsi="Times New Roman" w:eastAsia="仿宋_GB2312"/>
          <w:sz w:val="32"/>
          <w:szCs w:val="32"/>
        </w:rPr>
        <w:t>年技术先进型服务企业资格有效期满的企业，如需再次提出认定申请，按本通知规定办理。</w:t>
      </w:r>
    </w:p>
    <w:p>
      <w:pPr>
        <w:pStyle w:val="5"/>
        <w:numPr>
          <w:ilvl w:val="0"/>
          <w:numId w:val="1"/>
        </w:numPr>
        <w:spacing w:line="590" w:lineRule="exact"/>
        <w:ind w:firstLineChars="0"/>
        <w:rPr>
          <w:rFonts w:ascii="黑体" w:hAnsi="黑体" w:eastAsia="黑体"/>
          <w:sz w:val="32"/>
          <w:szCs w:val="32"/>
        </w:rPr>
      </w:pPr>
      <w:r>
        <w:rPr>
          <w:rFonts w:hint="eastAsia" w:ascii="黑体" w:hAnsi="黑体" w:eastAsia="黑体"/>
          <w:sz w:val="32"/>
          <w:szCs w:val="32"/>
        </w:rPr>
        <w:t>申报时间</w:t>
      </w:r>
    </w:p>
    <w:p>
      <w:pPr>
        <w:spacing w:line="59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省科技厅集中受理各设区市科技局报送的</w:t>
      </w:r>
      <w:r>
        <w:rPr>
          <w:rFonts w:ascii="仿宋_GB2312" w:hAnsi="Times New Roman" w:eastAsia="仿宋_GB2312"/>
          <w:sz w:val="32"/>
          <w:szCs w:val="32"/>
        </w:rPr>
        <w:t>2019</w:t>
      </w:r>
      <w:r>
        <w:rPr>
          <w:rFonts w:hint="eastAsia" w:ascii="仿宋_GB2312" w:hAnsi="Times New Roman" w:eastAsia="仿宋_GB2312"/>
          <w:sz w:val="32"/>
          <w:szCs w:val="32"/>
        </w:rPr>
        <w:t>年度技术先进型服务企业申报材料，受理的截止时间为</w:t>
      </w:r>
      <w:r>
        <w:rPr>
          <w:rFonts w:ascii="仿宋_GB2312" w:hAnsi="Times New Roman" w:eastAsia="仿宋_GB2312"/>
          <w:sz w:val="32"/>
          <w:szCs w:val="32"/>
        </w:rPr>
        <w:t>9</w:t>
      </w:r>
      <w:r>
        <w:rPr>
          <w:rFonts w:hint="eastAsia" w:ascii="仿宋_GB2312" w:hAnsi="Times New Roman" w:eastAsia="仿宋_GB2312"/>
          <w:sz w:val="32"/>
          <w:szCs w:val="32"/>
        </w:rPr>
        <w:t>月</w:t>
      </w:r>
      <w:r>
        <w:rPr>
          <w:rFonts w:ascii="仿宋_GB2312" w:hAnsi="Times New Roman" w:eastAsia="仿宋_GB2312"/>
          <w:sz w:val="32"/>
          <w:szCs w:val="32"/>
        </w:rPr>
        <w:t>30</w:t>
      </w:r>
      <w:r>
        <w:rPr>
          <w:rFonts w:hint="eastAsia" w:ascii="仿宋_GB2312" w:hAnsi="Times New Roman" w:eastAsia="仿宋_GB2312"/>
          <w:sz w:val="32"/>
          <w:szCs w:val="32"/>
        </w:rPr>
        <w:t>日。企业向所在地科技局提交申报材料的截止时间以地方通知为准。</w:t>
      </w:r>
    </w:p>
    <w:p>
      <w:pPr>
        <w:spacing w:line="590" w:lineRule="exact"/>
        <w:ind w:firstLine="640" w:firstLineChars="200"/>
        <w:rPr>
          <w:rFonts w:ascii="黑体" w:hAnsi="黑体" w:eastAsia="黑体"/>
          <w:sz w:val="32"/>
          <w:szCs w:val="32"/>
        </w:rPr>
      </w:pPr>
      <w:r>
        <w:rPr>
          <w:rFonts w:hint="eastAsia" w:ascii="黑体" w:hAnsi="黑体" w:eastAsia="黑体"/>
          <w:sz w:val="32"/>
          <w:szCs w:val="32"/>
        </w:rPr>
        <w:t>三、申报程序</w:t>
      </w:r>
      <w:r>
        <w:rPr>
          <w:rFonts w:ascii="黑体" w:hAnsi="黑体" w:eastAsia="黑体"/>
          <w:sz w:val="32"/>
          <w:szCs w:val="32"/>
        </w:rPr>
        <w:t xml:space="preserve"> </w:t>
      </w:r>
    </w:p>
    <w:p>
      <w:pPr>
        <w:spacing w:line="590" w:lineRule="exact"/>
        <w:ind w:firstLine="640" w:firstLineChars="200"/>
        <w:rPr>
          <w:rFonts w:ascii="楷体" w:hAnsi="楷体" w:eastAsia="楷体"/>
          <w:sz w:val="32"/>
          <w:szCs w:val="32"/>
        </w:rPr>
      </w:pPr>
      <w:r>
        <w:rPr>
          <w:rFonts w:hint="eastAsia" w:ascii="楷体" w:hAnsi="楷体" w:eastAsia="楷体"/>
          <w:sz w:val="32"/>
          <w:szCs w:val="32"/>
        </w:rPr>
        <w:t>（一）企业申报</w:t>
      </w:r>
    </w:p>
    <w:p>
      <w:pPr>
        <w:spacing w:line="590" w:lineRule="exact"/>
        <w:ind w:firstLine="640" w:firstLineChars="200"/>
        <w:rPr>
          <w:rFonts w:ascii="仿宋_GB2312" w:hAnsi="Times New Roman" w:eastAsia="仿宋_GB2312"/>
          <w:sz w:val="32"/>
          <w:szCs w:val="32"/>
        </w:rPr>
      </w:pPr>
      <w:r>
        <w:rPr>
          <w:rFonts w:ascii="仿宋_GB2312" w:hAnsi="Times New Roman" w:eastAsia="仿宋_GB2312"/>
          <w:sz w:val="32"/>
          <w:szCs w:val="32"/>
        </w:rPr>
        <w:t>1.</w:t>
      </w:r>
      <w:r>
        <w:rPr>
          <w:rFonts w:hint="eastAsia" w:ascii="仿宋_GB2312" w:hAnsi="Times New Roman" w:eastAsia="仿宋_GB2312"/>
          <w:sz w:val="32"/>
          <w:szCs w:val="32"/>
        </w:rPr>
        <w:t>企</w:t>
      </w:r>
      <w:r>
        <w:rPr>
          <w:rFonts w:hint="eastAsia" w:ascii="仿宋_GB2312" w:hAnsi="Times New Roman" w:eastAsia="仿宋_GB2312"/>
          <w:spacing w:val="-2"/>
          <w:sz w:val="32"/>
          <w:szCs w:val="32"/>
        </w:rPr>
        <w:t>业进入“全国技术先进型服务企业业务办理管理平台”（网址：</w:t>
      </w:r>
      <w:r>
        <w:rPr>
          <w:rFonts w:ascii="仿宋_GB2312" w:hAnsi="Times New Roman" w:eastAsia="仿宋_GB2312"/>
          <w:spacing w:val="-2"/>
          <w:sz w:val="32"/>
          <w:szCs w:val="32"/>
        </w:rPr>
        <w:t>http://tas.innocom.gov.cn/</w:t>
      </w:r>
      <w:r>
        <w:rPr>
          <w:rFonts w:hint="eastAsia" w:ascii="仿宋_GB2312" w:hAnsi="Times New Roman" w:eastAsia="仿宋_GB2312"/>
          <w:spacing w:val="-2"/>
          <w:sz w:val="32"/>
          <w:szCs w:val="32"/>
        </w:rPr>
        <w:t>）点击“申报认定备案入口”，进入“统一身份认证与单点登录平台</w:t>
      </w:r>
      <w:r>
        <w:rPr>
          <w:rFonts w:ascii="仿宋_GB2312" w:hAnsi="Times New Roman" w:eastAsia="仿宋_GB2312"/>
          <w:spacing w:val="-2"/>
          <w:sz w:val="32"/>
          <w:szCs w:val="32"/>
        </w:rPr>
        <w:t>-</w:t>
      </w:r>
      <w:r>
        <w:rPr>
          <w:rFonts w:hint="eastAsia" w:ascii="仿宋_GB2312" w:hAnsi="Times New Roman" w:eastAsia="仿宋_GB2312"/>
          <w:spacing w:val="-2"/>
          <w:sz w:val="32"/>
          <w:szCs w:val="32"/>
        </w:rPr>
        <w:t>技术先进型服务企业认定业务办理管理平台”，新用户按要求注册个人账户，个人账户注册成功后登录平台注册企业，填写《企业注册登记表》并提交，科学技术部火炬中心审核并发送审核结果至注册邮箱。注册成功的企业登录“全国技术先进型服务企业业务办理管理平台”按系统要求填写《全国技术先进型服务企业认定（复核）申请表》（以下简称《申请表》），并通过网络提交材料至所属地区科技主管部门。</w:t>
      </w:r>
    </w:p>
    <w:p>
      <w:pPr>
        <w:spacing w:line="590" w:lineRule="exact"/>
        <w:ind w:firstLine="640" w:firstLineChars="200"/>
        <w:rPr>
          <w:rFonts w:ascii="仿宋_GB2312" w:hAnsi="Times New Roman" w:eastAsia="仿宋_GB2312"/>
          <w:sz w:val="32"/>
          <w:szCs w:val="32"/>
        </w:rPr>
      </w:pPr>
      <w:r>
        <w:rPr>
          <w:rFonts w:ascii="仿宋_GB2312" w:hAnsi="Times New Roman" w:eastAsia="仿宋_GB2312"/>
          <w:sz w:val="32"/>
          <w:szCs w:val="32"/>
        </w:rPr>
        <w:t>2</w:t>
      </w:r>
      <w:r>
        <w:rPr>
          <w:rFonts w:hint="eastAsia" w:ascii="仿宋_GB2312" w:hAnsi="Times New Roman" w:eastAsia="仿宋_GB2312"/>
          <w:sz w:val="32"/>
          <w:szCs w:val="32"/>
        </w:rPr>
        <w:t>．企业通过“技术先进型服务企业认定业务办理管理平台”生成并打印《申请表》，按要求签字盖章，并提供相关证明材料（具体要求见附件</w:t>
      </w:r>
      <w:r>
        <w:rPr>
          <w:rFonts w:ascii="仿宋_GB2312" w:hAnsi="Times New Roman" w:eastAsia="仿宋_GB2312"/>
          <w:sz w:val="32"/>
          <w:szCs w:val="32"/>
        </w:rPr>
        <w:t>1</w:t>
      </w:r>
      <w:r>
        <w:rPr>
          <w:rFonts w:hint="eastAsia" w:ascii="仿宋_GB2312" w:hAnsi="Times New Roman" w:eastAsia="仿宋_GB2312"/>
          <w:sz w:val="32"/>
          <w:szCs w:val="32"/>
        </w:rPr>
        <w:t>），证明材料必须与申请书所填内容一致，按装订顺序逐页编制总目录、分类目录和页码，正反打印，在书脊上注明企业名称，并将全部申报资料扫描成</w:t>
      </w:r>
      <w:r>
        <w:rPr>
          <w:rFonts w:ascii="仿宋_GB2312" w:hAnsi="Times New Roman" w:eastAsia="仿宋_GB2312"/>
          <w:sz w:val="32"/>
          <w:szCs w:val="32"/>
        </w:rPr>
        <w:t>PDF</w:t>
      </w:r>
      <w:r>
        <w:rPr>
          <w:rFonts w:hint="eastAsia" w:ascii="仿宋_GB2312" w:hAnsi="Times New Roman" w:eastAsia="仿宋_GB2312"/>
          <w:sz w:val="32"/>
          <w:szCs w:val="32"/>
        </w:rPr>
        <w:t>格式，制作成数据光盘。企业需认真检查纸质申报材料，确保签字盖章齐全、清晰完整且与数据光盘中的内容一致，纸质申报材料和数据光盘一并报送至所在设区市科技局。</w:t>
      </w:r>
    </w:p>
    <w:p>
      <w:pPr>
        <w:spacing w:line="590" w:lineRule="exact"/>
        <w:ind w:firstLine="640" w:firstLineChars="200"/>
        <w:rPr>
          <w:rFonts w:ascii="楷体" w:hAnsi="楷体" w:eastAsia="楷体"/>
          <w:sz w:val="32"/>
          <w:szCs w:val="32"/>
        </w:rPr>
      </w:pPr>
      <w:r>
        <w:rPr>
          <w:rFonts w:hint="eastAsia" w:ascii="楷体" w:hAnsi="楷体" w:eastAsia="楷体"/>
          <w:sz w:val="32"/>
          <w:szCs w:val="32"/>
        </w:rPr>
        <w:t>（二）地方汇总和审核</w:t>
      </w:r>
    </w:p>
    <w:p>
      <w:pPr>
        <w:spacing w:line="59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各设区市科技局会同同级商务局、财政局、税务局、发展改革委根据《管理办法》和本通知要求，联合对企业申报材料的有效性和完整性进行认真审核，如有需要，可实地核实企业申报信息。对符合条件的企业，在《申请表》主管部门推荐意见一栏加盖设区市科技局公章，汇总填报《技术先进型服务企业推荐上报汇总表》（附件</w:t>
      </w:r>
      <w:r>
        <w:rPr>
          <w:rFonts w:ascii="仿宋_GB2312" w:hAnsi="Times New Roman" w:eastAsia="仿宋_GB2312"/>
          <w:sz w:val="32"/>
          <w:szCs w:val="32"/>
        </w:rPr>
        <w:t>4</w:t>
      </w:r>
      <w:r>
        <w:rPr>
          <w:rFonts w:hint="eastAsia" w:ascii="仿宋_GB2312" w:hAnsi="Times New Roman" w:eastAsia="仿宋_GB2312"/>
          <w:sz w:val="32"/>
          <w:szCs w:val="32"/>
        </w:rPr>
        <w:t>）并加盖设区市科技局、商务局、财政局、税务局及发展改革委公章。同时，设区市科技局在“技术先进型服务企业认定业务办理管理平台”中将经审核正式推荐上报的企业网上申报材料在线提交到省科技厅，提交的企业清单必须与《技术先进型服务企业推荐上报汇总表》一致。</w:t>
      </w:r>
    </w:p>
    <w:p>
      <w:pPr>
        <w:spacing w:line="590" w:lineRule="exact"/>
        <w:ind w:firstLine="640" w:firstLineChars="200"/>
        <w:rPr>
          <w:rFonts w:ascii="楷体" w:hAnsi="楷体" w:eastAsia="楷体"/>
          <w:sz w:val="32"/>
          <w:szCs w:val="32"/>
        </w:rPr>
      </w:pPr>
      <w:r>
        <w:rPr>
          <w:rFonts w:hint="eastAsia" w:ascii="楷体" w:hAnsi="楷体" w:eastAsia="楷体"/>
          <w:sz w:val="32"/>
          <w:szCs w:val="32"/>
        </w:rPr>
        <w:t>（三）材料报送</w:t>
      </w:r>
    </w:p>
    <w:p>
      <w:pPr>
        <w:spacing w:line="59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各有关设区市科技局须正式行文出具推荐函。推荐函、《技术先进型服务企业推荐上报汇总表》一式一份，连同辖区内企业的纸质申报材料（一式两份）、申报材料数据光盘统一报送至委托受理单位</w:t>
      </w:r>
      <w:r>
        <w:rPr>
          <w:rFonts w:ascii="仿宋_GB2312" w:hAnsi="Times New Roman" w:eastAsia="仿宋_GB2312"/>
          <w:sz w:val="32"/>
          <w:szCs w:val="32"/>
        </w:rPr>
        <w:t>——</w:t>
      </w:r>
      <w:r>
        <w:rPr>
          <w:rFonts w:hint="eastAsia" w:ascii="仿宋_GB2312" w:hAnsi="Times New Roman" w:eastAsia="仿宋_GB2312"/>
          <w:sz w:val="32"/>
          <w:szCs w:val="32"/>
        </w:rPr>
        <w:t>江苏省生产力促进中心。</w:t>
      </w:r>
    </w:p>
    <w:p>
      <w:pPr>
        <w:spacing w:line="590" w:lineRule="exact"/>
        <w:ind w:firstLine="640" w:firstLineChars="200"/>
        <w:rPr>
          <w:rFonts w:ascii="黑体" w:hAnsi="黑体" w:eastAsia="黑体"/>
          <w:sz w:val="32"/>
          <w:szCs w:val="32"/>
        </w:rPr>
      </w:pPr>
      <w:r>
        <w:rPr>
          <w:rFonts w:hint="eastAsia" w:ascii="黑体" w:hAnsi="黑体" w:eastAsia="黑体"/>
          <w:sz w:val="32"/>
          <w:szCs w:val="32"/>
        </w:rPr>
        <w:t>四、工作要求</w:t>
      </w:r>
    </w:p>
    <w:p>
      <w:pPr>
        <w:spacing w:line="590" w:lineRule="exact"/>
        <w:ind w:firstLine="640" w:firstLineChars="200"/>
        <w:rPr>
          <w:rFonts w:ascii="仿宋_GB2312" w:hAnsi="Times New Roman" w:eastAsia="仿宋_GB2312"/>
          <w:sz w:val="32"/>
          <w:szCs w:val="32"/>
        </w:rPr>
      </w:pPr>
      <w:r>
        <w:rPr>
          <w:rFonts w:ascii="仿宋_GB2312" w:hAnsi="Times New Roman" w:eastAsia="仿宋_GB2312"/>
          <w:sz w:val="32"/>
          <w:szCs w:val="32"/>
        </w:rPr>
        <w:t xml:space="preserve">1. </w:t>
      </w:r>
      <w:r>
        <w:rPr>
          <w:rFonts w:hint="eastAsia" w:ascii="仿宋_GB2312" w:hAnsi="Times New Roman" w:eastAsia="仿宋_GB2312"/>
          <w:sz w:val="32"/>
          <w:szCs w:val="32"/>
        </w:rPr>
        <w:t>请各地科技部门高度重视技术先进型服务企业认定管理工作，建立和完善技术先进型服务企业认定管理工作协调机制，确保申报工作的有序开展；主动会同当地商务、财政、税务和发展改革部门加大技术先进型服务企业相关政策的宣传解读工作，做好对申报企业的业务指导与培训，提高申报质量。</w:t>
      </w:r>
    </w:p>
    <w:p>
      <w:pPr>
        <w:spacing w:line="590" w:lineRule="exact"/>
        <w:ind w:firstLine="640" w:firstLineChars="200"/>
        <w:rPr>
          <w:rFonts w:ascii="仿宋_GB2312" w:hAnsi="Times New Roman" w:eastAsia="仿宋_GB2312"/>
          <w:sz w:val="32"/>
          <w:szCs w:val="32"/>
        </w:rPr>
      </w:pPr>
      <w:r>
        <w:rPr>
          <w:rFonts w:ascii="仿宋_GB2312" w:hAnsi="Times New Roman" w:eastAsia="仿宋_GB2312"/>
          <w:sz w:val="32"/>
          <w:szCs w:val="32"/>
        </w:rPr>
        <w:t xml:space="preserve">2. </w:t>
      </w:r>
      <w:r>
        <w:rPr>
          <w:rFonts w:hint="eastAsia" w:ascii="仿宋_GB2312" w:hAnsi="Times New Roman" w:eastAsia="仿宋_GB2312"/>
          <w:sz w:val="32"/>
          <w:szCs w:val="32"/>
        </w:rPr>
        <w:t>各地科技部门要加强对组织申报全过程的监察和监督，坚决防止和杜绝弄虚作假，确保申报工作的公正性和规范化操作，坚决杜绝“有偿服务”行为的发生，不得委托或指定任何单位、部门和个人为申报企业编写申报材料。</w:t>
      </w:r>
    </w:p>
    <w:p>
      <w:pPr>
        <w:spacing w:line="590" w:lineRule="exact"/>
        <w:ind w:firstLine="640" w:firstLineChars="200"/>
        <w:rPr>
          <w:rFonts w:ascii="仿宋_GB2312" w:hAnsi="Times New Roman" w:eastAsia="仿宋_GB2312"/>
          <w:sz w:val="32"/>
          <w:szCs w:val="32"/>
        </w:rPr>
      </w:pPr>
      <w:r>
        <w:rPr>
          <w:rFonts w:ascii="仿宋_GB2312" w:hAnsi="Times New Roman" w:eastAsia="仿宋_GB2312"/>
          <w:sz w:val="32"/>
          <w:szCs w:val="32"/>
        </w:rPr>
        <w:t xml:space="preserve">3. </w:t>
      </w:r>
      <w:r>
        <w:rPr>
          <w:rFonts w:hint="eastAsia" w:ascii="仿宋_GB2312" w:hAnsi="Times New Roman" w:eastAsia="仿宋_GB2312"/>
          <w:sz w:val="32"/>
          <w:szCs w:val="32"/>
        </w:rPr>
        <w:t>企业作为申报主体，对申报材料的真实性、合法性、有效性和完整性负主体责任并作出信用承诺，《申请表》经企业法人签字并加盖企业公章后方可报送。若存在弄虚作假行为，一经发现并查实，将取消其评审资格并列入不良信用记录。各设区市科技、商务、财政、税务和发展改革部门要切实强化审核责任，加强申报材料的审核把关，强化风险意识、责任意识，确保上报材料符合《管理办法》和本通知要求，并作出信用承诺。</w:t>
      </w:r>
    </w:p>
    <w:p>
      <w:pPr>
        <w:spacing w:line="590" w:lineRule="exact"/>
        <w:ind w:firstLine="640" w:firstLineChars="200"/>
        <w:rPr>
          <w:rFonts w:ascii="仿宋_GB2312" w:hAnsi="Times New Roman" w:eastAsia="仿宋_GB2312"/>
          <w:sz w:val="32"/>
          <w:szCs w:val="32"/>
        </w:rPr>
      </w:pPr>
      <w:r>
        <w:rPr>
          <w:rFonts w:ascii="仿宋_GB2312" w:hAnsi="Times New Roman" w:eastAsia="仿宋_GB2312"/>
          <w:sz w:val="32"/>
          <w:szCs w:val="32"/>
        </w:rPr>
        <w:t xml:space="preserve">4. </w:t>
      </w:r>
      <w:r>
        <w:rPr>
          <w:rFonts w:hint="eastAsia" w:ascii="仿宋_GB2312" w:hAnsi="Times New Roman" w:eastAsia="仿宋_GB2312"/>
          <w:sz w:val="32"/>
          <w:szCs w:val="32"/>
        </w:rPr>
        <w:t>各设区市科技部门会同同级商务、财政、税务和发展改革部门对经认定并享受税收优惠政策的技术先进型服务企业做好日常管理服务，对变更经营范围、合并、分立、转业、迁移的企业，如不再符合认定条件，及时提请省科技厅会同省商务厅、省财政厅、省税务局和省发展改革委取消其享受税收优惠政策的资格。</w:t>
      </w:r>
    </w:p>
    <w:p>
      <w:pPr>
        <w:spacing w:line="590" w:lineRule="exact"/>
        <w:ind w:firstLine="640" w:firstLineChars="200"/>
        <w:rPr>
          <w:rFonts w:ascii="Times New Roman" w:hAnsi="Times New Roman" w:eastAsia="方正仿宋_GBK"/>
          <w:sz w:val="32"/>
          <w:szCs w:val="32"/>
        </w:rPr>
      </w:pPr>
    </w:p>
    <w:p>
      <w:pPr>
        <w:spacing w:line="59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省科技厅高新处联系人：李亮</w:t>
      </w:r>
    </w:p>
    <w:p>
      <w:pPr>
        <w:spacing w:line="59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电</w:t>
      </w:r>
      <w:r>
        <w:rPr>
          <w:rFonts w:ascii="仿宋_GB2312" w:hAnsi="Times New Roman" w:eastAsia="仿宋_GB2312"/>
          <w:sz w:val="32"/>
          <w:szCs w:val="32"/>
        </w:rPr>
        <w:t xml:space="preserve">  </w:t>
      </w:r>
      <w:r>
        <w:rPr>
          <w:rFonts w:hint="eastAsia" w:ascii="仿宋_GB2312" w:hAnsi="Times New Roman" w:eastAsia="仿宋_GB2312"/>
          <w:sz w:val="32"/>
          <w:szCs w:val="32"/>
        </w:rPr>
        <w:t>话：</w:t>
      </w:r>
      <w:r>
        <w:rPr>
          <w:rFonts w:ascii="仿宋_GB2312" w:hAnsi="Times New Roman" w:eastAsia="仿宋_GB2312"/>
          <w:sz w:val="32"/>
          <w:szCs w:val="32"/>
        </w:rPr>
        <w:t>025-83379768</w:t>
      </w:r>
    </w:p>
    <w:p>
      <w:pPr>
        <w:spacing w:line="59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省生产力促进中心联系人：吴倩雯</w:t>
      </w:r>
      <w:r>
        <w:rPr>
          <w:rFonts w:ascii="仿宋_GB2312" w:hAnsi="Times New Roman" w:eastAsia="仿宋_GB2312"/>
          <w:sz w:val="32"/>
          <w:szCs w:val="32"/>
        </w:rPr>
        <w:t xml:space="preserve">  </w:t>
      </w:r>
      <w:r>
        <w:rPr>
          <w:rFonts w:hint="eastAsia" w:ascii="仿宋_GB2312" w:hAnsi="Times New Roman" w:eastAsia="仿宋_GB2312"/>
          <w:sz w:val="32"/>
          <w:szCs w:val="32"/>
        </w:rPr>
        <w:t>任海玲</w:t>
      </w:r>
    </w:p>
    <w:p>
      <w:pPr>
        <w:spacing w:line="59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电</w:t>
      </w:r>
      <w:r>
        <w:rPr>
          <w:rFonts w:ascii="仿宋_GB2312" w:hAnsi="Times New Roman" w:eastAsia="仿宋_GB2312"/>
          <w:sz w:val="32"/>
          <w:szCs w:val="32"/>
        </w:rPr>
        <w:t xml:space="preserve">  </w:t>
      </w:r>
      <w:r>
        <w:rPr>
          <w:rFonts w:hint="eastAsia" w:ascii="仿宋_GB2312" w:hAnsi="Times New Roman" w:eastAsia="仿宋_GB2312"/>
          <w:sz w:val="32"/>
          <w:szCs w:val="32"/>
        </w:rPr>
        <w:t>话：</w:t>
      </w:r>
      <w:r>
        <w:rPr>
          <w:rFonts w:ascii="仿宋_GB2312" w:hAnsi="Times New Roman" w:eastAsia="仿宋_GB2312"/>
          <w:sz w:val="32"/>
          <w:szCs w:val="32"/>
        </w:rPr>
        <w:t>025-85485928</w:t>
      </w:r>
      <w:r>
        <w:rPr>
          <w:rFonts w:hint="eastAsia" w:ascii="仿宋_GB2312" w:hAnsi="Times New Roman" w:eastAsia="仿宋_GB2312"/>
          <w:sz w:val="32"/>
          <w:szCs w:val="32"/>
        </w:rPr>
        <w:t>、</w:t>
      </w:r>
      <w:r>
        <w:rPr>
          <w:rFonts w:ascii="仿宋_GB2312" w:hAnsi="Times New Roman" w:eastAsia="仿宋_GB2312"/>
          <w:sz w:val="32"/>
          <w:szCs w:val="32"/>
        </w:rPr>
        <w:t>85485971</w:t>
      </w:r>
    </w:p>
    <w:p>
      <w:pPr>
        <w:spacing w:line="59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材料报送地址</w:t>
      </w:r>
      <w:r>
        <w:rPr>
          <w:rFonts w:ascii="仿宋_GB2312" w:hAnsi="Times New Roman" w:eastAsia="仿宋_GB2312"/>
          <w:sz w:val="32"/>
          <w:szCs w:val="32"/>
        </w:rPr>
        <w:t xml:space="preserve">: </w:t>
      </w:r>
      <w:r>
        <w:rPr>
          <w:rFonts w:hint="eastAsia" w:ascii="仿宋_GB2312" w:hAnsi="Times New Roman" w:eastAsia="仿宋_GB2312"/>
          <w:sz w:val="32"/>
          <w:szCs w:val="32"/>
        </w:rPr>
        <w:t>南京市龙蟠路</w:t>
      </w:r>
      <w:r>
        <w:rPr>
          <w:rFonts w:ascii="仿宋_GB2312" w:hAnsi="Times New Roman" w:eastAsia="仿宋_GB2312"/>
          <w:sz w:val="32"/>
          <w:szCs w:val="32"/>
        </w:rPr>
        <w:t>171</w:t>
      </w:r>
      <w:r>
        <w:rPr>
          <w:rFonts w:hint="eastAsia" w:ascii="仿宋_GB2312" w:hAnsi="Times New Roman" w:eastAsia="仿宋_GB2312"/>
          <w:sz w:val="32"/>
          <w:szCs w:val="32"/>
        </w:rPr>
        <w:t>号江苏省生产力促进中心创新管理与高新技术服务处</w:t>
      </w:r>
    </w:p>
    <w:p>
      <w:pPr>
        <w:spacing w:line="590" w:lineRule="exact"/>
        <w:ind w:firstLine="640" w:firstLineChars="200"/>
        <w:rPr>
          <w:rFonts w:ascii="仿宋_GB2312" w:hAnsi="Times New Roman" w:eastAsia="仿宋_GB2312"/>
          <w:sz w:val="32"/>
          <w:szCs w:val="32"/>
        </w:rPr>
      </w:pPr>
    </w:p>
    <w:p>
      <w:pPr>
        <w:spacing w:line="59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附件：</w:t>
      </w:r>
      <w:r>
        <w:rPr>
          <w:rFonts w:ascii="仿宋_GB2312" w:hAnsi="Times New Roman" w:eastAsia="仿宋_GB2312"/>
          <w:sz w:val="32"/>
          <w:szCs w:val="32"/>
        </w:rPr>
        <w:t xml:space="preserve">1. </w:t>
      </w:r>
      <w:r>
        <w:rPr>
          <w:rFonts w:hint="eastAsia" w:ascii="仿宋_GB2312" w:hAnsi="Times New Roman" w:eastAsia="仿宋_GB2312"/>
          <w:sz w:val="32"/>
          <w:szCs w:val="32"/>
        </w:rPr>
        <w:t>申报材料清单及装订顺序</w:t>
      </w:r>
    </w:p>
    <w:p>
      <w:pPr>
        <w:spacing w:line="590" w:lineRule="exact"/>
        <w:ind w:left="640" w:leftChars="305" w:firstLine="960" w:firstLineChars="300"/>
        <w:rPr>
          <w:rFonts w:ascii="仿宋_GB2312" w:hAnsi="Times New Roman" w:eastAsia="仿宋_GB2312"/>
          <w:sz w:val="32"/>
          <w:szCs w:val="32"/>
        </w:rPr>
      </w:pPr>
      <w:r>
        <w:rPr>
          <w:rFonts w:ascii="仿宋_GB2312" w:hAnsi="Times New Roman" w:eastAsia="仿宋_GB2312"/>
          <w:sz w:val="32"/>
          <w:szCs w:val="32"/>
        </w:rPr>
        <w:t>2</w:t>
      </w:r>
      <w:r>
        <w:rPr>
          <w:rFonts w:hint="eastAsia" w:ascii="仿宋_GB2312" w:hAnsi="Times New Roman" w:eastAsia="仿宋_GB2312"/>
          <w:sz w:val="32"/>
          <w:szCs w:val="32"/>
        </w:rPr>
        <w:t>．</w:t>
      </w:r>
      <w:r>
        <w:rPr>
          <w:rFonts w:ascii="仿宋_GB2312" w:hAnsi="Times New Roman" w:eastAsia="仿宋_GB2312"/>
          <w:sz w:val="32"/>
          <w:szCs w:val="32"/>
        </w:rPr>
        <w:t>2018</w:t>
      </w:r>
      <w:r>
        <w:rPr>
          <w:rFonts w:hint="eastAsia" w:ascii="仿宋_GB2312" w:hAnsi="Times New Roman" w:eastAsia="仿宋_GB2312"/>
          <w:sz w:val="32"/>
          <w:szCs w:val="32"/>
        </w:rPr>
        <w:t>年企业职工人数情况表</w:t>
      </w:r>
    </w:p>
    <w:p>
      <w:pPr>
        <w:spacing w:line="590" w:lineRule="exact"/>
        <w:ind w:left="2078" w:leftChars="761" w:hanging="480" w:hangingChars="150"/>
        <w:rPr>
          <w:rFonts w:ascii="仿宋_GB2312" w:hAnsi="Times New Roman" w:eastAsia="仿宋_GB2312"/>
          <w:sz w:val="32"/>
          <w:szCs w:val="32"/>
        </w:rPr>
      </w:pPr>
      <w:r>
        <w:rPr>
          <w:rFonts w:ascii="仿宋_GB2312" w:hAnsi="Times New Roman" w:eastAsia="仿宋_GB2312"/>
          <w:sz w:val="32"/>
          <w:szCs w:val="32"/>
        </w:rPr>
        <w:t>3</w:t>
      </w:r>
      <w:r>
        <w:rPr>
          <w:rFonts w:hint="eastAsia" w:ascii="仿宋_GB2312" w:hAnsi="Times New Roman" w:eastAsia="仿宋_GB2312"/>
          <w:sz w:val="32"/>
          <w:szCs w:val="32"/>
        </w:rPr>
        <w:t>．</w:t>
      </w:r>
      <w:r>
        <w:rPr>
          <w:rFonts w:ascii="仿宋_GB2312" w:hAnsi="Times New Roman" w:eastAsia="仿宋_GB2312"/>
          <w:sz w:val="32"/>
          <w:szCs w:val="32"/>
        </w:rPr>
        <w:t>2018</w:t>
      </w:r>
      <w:r>
        <w:rPr>
          <w:rFonts w:hint="eastAsia" w:ascii="仿宋_GB2312" w:hAnsi="Times New Roman" w:eastAsia="仿宋_GB2312"/>
          <w:sz w:val="32"/>
          <w:szCs w:val="32"/>
        </w:rPr>
        <w:t>年企业总收入、技术先进型服务业务收入、离岸服务外包业务收入汇总表</w:t>
      </w:r>
    </w:p>
    <w:p>
      <w:pPr>
        <w:spacing w:line="590" w:lineRule="exact"/>
        <w:ind w:left="640" w:leftChars="305" w:firstLine="960" w:firstLineChars="300"/>
        <w:rPr>
          <w:rFonts w:ascii="仿宋_GB2312" w:hAnsi="Times New Roman" w:eastAsia="仿宋_GB2312"/>
          <w:sz w:val="32"/>
          <w:szCs w:val="32"/>
        </w:rPr>
      </w:pPr>
      <w:r>
        <w:rPr>
          <w:rFonts w:ascii="仿宋_GB2312" w:hAnsi="Times New Roman" w:eastAsia="仿宋_GB2312"/>
          <w:sz w:val="32"/>
          <w:szCs w:val="32"/>
        </w:rPr>
        <w:t>4</w:t>
      </w:r>
      <w:r>
        <w:rPr>
          <w:rFonts w:hint="eastAsia" w:ascii="仿宋_GB2312" w:hAnsi="Times New Roman" w:eastAsia="仿宋_GB2312"/>
          <w:sz w:val="32"/>
          <w:szCs w:val="32"/>
        </w:rPr>
        <w:t>．技术先进型服务企业推荐上报汇总表</w:t>
      </w:r>
    </w:p>
    <w:p>
      <w:pPr>
        <w:spacing w:line="590" w:lineRule="exact"/>
        <w:ind w:firstLine="640" w:firstLineChars="200"/>
        <w:rPr>
          <w:rFonts w:ascii="仿宋_GB2312" w:hAnsi="Times New Roman" w:eastAsia="仿宋_GB2312"/>
          <w:sz w:val="32"/>
          <w:szCs w:val="32"/>
        </w:rPr>
      </w:pPr>
    </w:p>
    <w:p>
      <w:pPr>
        <w:spacing w:line="590" w:lineRule="exact"/>
        <w:ind w:firstLine="640" w:firstLineChars="200"/>
        <w:rPr>
          <w:rFonts w:ascii="仿宋_GB2312" w:hAnsi="Times New Roman" w:eastAsia="仿宋_GB2312"/>
          <w:sz w:val="32"/>
          <w:szCs w:val="32"/>
        </w:rPr>
      </w:pPr>
    </w:p>
    <w:p>
      <w:pPr>
        <w:spacing w:line="590" w:lineRule="exact"/>
        <w:jc w:val="center"/>
        <w:rPr>
          <w:rFonts w:ascii="仿宋_GB2312" w:hAnsi="Times New Roman" w:eastAsia="仿宋_GB2312"/>
          <w:sz w:val="32"/>
          <w:szCs w:val="32"/>
        </w:rPr>
      </w:pPr>
    </w:p>
    <w:p>
      <w:pPr>
        <w:spacing w:line="590" w:lineRule="exact"/>
        <w:jc w:val="center"/>
        <w:rPr>
          <w:rFonts w:ascii="仿宋_GB2312" w:hAnsi="Times New Roman" w:eastAsia="仿宋_GB2312"/>
          <w:sz w:val="32"/>
          <w:szCs w:val="32"/>
        </w:rPr>
      </w:pPr>
    </w:p>
    <w:p>
      <w:pPr>
        <w:spacing w:line="590" w:lineRule="exact"/>
        <w:jc w:val="center"/>
        <w:rPr>
          <w:rFonts w:ascii="仿宋_GB2312" w:hAnsi="Times New Roman" w:eastAsia="仿宋_GB2312"/>
          <w:sz w:val="32"/>
          <w:szCs w:val="32"/>
        </w:rPr>
      </w:pPr>
    </w:p>
    <w:p>
      <w:pPr>
        <w:spacing w:line="590" w:lineRule="exact"/>
        <w:rPr>
          <w:rFonts w:ascii="仿宋_GB2312" w:hAnsi="Times New Roman" w:eastAsia="仿宋_GB2312"/>
          <w:sz w:val="32"/>
          <w:szCs w:val="32"/>
        </w:rPr>
      </w:pPr>
      <w:r>
        <w:rPr>
          <w:rFonts w:ascii="仿宋_GB2312" w:hAnsi="Times New Roman" w:eastAsia="仿宋_GB2312"/>
          <w:sz w:val="32"/>
          <w:szCs w:val="32"/>
        </w:rPr>
        <w:t xml:space="preserve">   </w:t>
      </w:r>
    </w:p>
    <w:p>
      <w:pPr>
        <w:spacing w:line="590" w:lineRule="exact"/>
        <w:rPr>
          <w:rFonts w:ascii="仿宋_GB2312" w:hAnsi="Times New Roman" w:eastAsia="仿宋_GB2312"/>
          <w:sz w:val="32"/>
          <w:szCs w:val="32"/>
        </w:rPr>
      </w:pPr>
      <w:r>
        <w:rPr>
          <w:rFonts w:ascii="仿宋_GB2312" w:hAnsi="Times New Roman" w:eastAsia="仿宋_GB2312"/>
          <w:sz w:val="32"/>
          <w:szCs w:val="32"/>
        </w:rPr>
        <w:br w:type="page"/>
      </w:r>
      <w:r>
        <w:rPr>
          <w:rFonts w:ascii="仿宋_GB2312" w:hAnsi="Times New Roman" w:eastAsia="仿宋_GB2312"/>
          <w:sz w:val="32"/>
          <w:szCs w:val="32"/>
        </w:rPr>
        <w:t xml:space="preserve"> </w:t>
      </w:r>
      <w:r>
        <w:rPr>
          <w:rFonts w:hint="eastAsia" w:ascii="仿宋_GB2312" w:hAnsi="Times New Roman" w:eastAsia="仿宋_GB2312"/>
          <w:sz w:val="32"/>
          <w:szCs w:val="32"/>
        </w:rPr>
        <w:t>（此页无正文）</w:t>
      </w:r>
    </w:p>
    <w:p>
      <w:pPr>
        <w:spacing w:line="590" w:lineRule="exact"/>
        <w:jc w:val="center"/>
        <w:rPr>
          <w:rFonts w:ascii="仿宋_GB2312" w:hAnsi="Times New Roman" w:eastAsia="仿宋_GB2312"/>
          <w:sz w:val="32"/>
          <w:szCs w:val="32"/>
        </w:rPr>
      </w:pPr>
    </w:p>
    <w:p>
      <w:pPr>
        <w:spacing w:line="590" w:lineRule="exact"/>
        <w:jc w:val="center"/>
        <w:rPr>
          <w:rFonts w:ascii="仿宋_GB2312" w:hAnsi="Times New Roman" w:eastAsia="仿宋_GB2312"/>
          <w:sz w:val="32"/>
          <w:szCs w:val="32"/>
        </w:rPr>
      </w:pPr>
    </w:p>
    <w:p>
      <w:pPr>
        <w:spacing w:line="590" w:lineRule="exact"/>
        <w:jc w:val="center"/>
        <w:rPr>
          <w:rFonts w:ascii="仿宋_GB2312" w:hAnsi="Times New Roman" w:eastAsia="仿宋_GB2312"/>
          <w:sz w:val="32"/>
          <w:szCs w:val="32"/>
        </w:rPr>
      </w:pPr>
    </w:p>
    <w:p>
      <w:pPr>
        <w:spacing w:line="590" w:lineRule="exact"/>
        <w:jc w:val="center"/>
        <w:rPr>
          <w:rFonts w:ascii="仿宋_GB2312" w:hAnsi="Times New Roman" w:eastAsia="仿宋_GB2312"/>
          <w:sz w:val="32"/>
          <w:szCs w:val="32"/>
        </w:rPr>
      </w:pPr>
    </w:p>
    <w:p>
      <w:pPr>
        <w:spacing w:line="590" w:lineRule="exact"/>
        <w:ind w:firstLine="960" w:firstLineChars="300"/>
        <w:rPr>
          <w:rFonts w:ascii="仿宋_GB2312" w:hAnsi="Times New Roman" w:eastAsia="仿宋_GB2312"/>
          <w:sz w:val="32"/>
          <w:szCs w:val="32"/>
        </w:rPr>
      </w:pPr>
      <w:r>
        <w:rPr>
          <w:rFonts w:hint="eastAsia" w:ascii="仿宋_GB2312" w:hAnsi="Times New Roman" w:eastAsia="仿宋_GB2312"/>
          <w:sz w:val="32"/>
          <w:szCs w:val="32"/>
        </w:rPr>
        <w:t>江苏省科技厅</w:t>
      </w:r>
      <w:r>
        <w:rPr>
          <w:rFonts w:ascii="仿宋_GB2312" w:hAnsi="Times New Roman" w:eastAsia="仿宋_GB2312"/>
          <w:sz w:val="32"/>
          <w:szCs w:val="32"/>
        </w:rPr>
        <w:t xml:space="preserve">            </w:t>
      </w:r>
      <w:r>
        <w:rPr>
          <w:rFonts w:hint="eastAsia" w:ascii="仿宋_GB2312" w:hAnsi="Times New Roman" w:eastAsia="仿宋_GB2312"/>
          <w:sz w:val="32"/>
          <w:szCs w:val="32"/>
        </w:rPr>
        <w:t>江苏省商务厅</w:t>
      </w:r>
    </w:p>
    <w:p>
      <w:pPr>
        <w:spacing w:line="590" w:lineRule="exact"/>
        <w:jc w:val="center"/>
        <w:rPr>
          <w:rFonts w:ascii="仿宋_GB2312" w:hAnsi="Times New Roman" w:eastAsia="仿宋_GB2312"/>
          <w:sz w:val="32"/>
          <w:szCs w:val="32"/>
        </w:rPr>
      </w:pPr>
    </w:p>
    <w:p>
      <w:pPr>
        <w:spacing w:line="590" w:lineRule="exact"/>
        <w:jc w:val="center"/>
        <w:rPr>
          <w:rFonts w:ascii="仿宋_GB2312" w:hAnsi="Times New Roman" w:eastAsia="仿宋_GB2312"/>
          <w:sz w:val="32"/>
          <w:szCs w:val="32"/>
        </w:rPr>
      </w:pPr>
    </w:p>
    <w:p>
      <w:pPr>
        <w:spacing w:line="590" w:lineRule="exact"/>
        <w:jc w:val="center"/>
        <w:rPr>
          <w:rFonts w:ascii="仿宋_GB2312" w:hAnsi="Times New Roman" w:eastAsia="仿宋_GB2312"/>
          <w:sz w:val="32"/>
          <w:szCs w:val="32"/>
        </w:rPr>
      </w:pPr>
    </w:p>
    <w:p>
      <w:pPr>
        <w:spacing w:line="590" w:lineRule="exact"/>
        <w:jc w:val="center"/>
        <w:rPr>
          <w:rFonts w:ascii="仿宋_GB2312" w:hAnsi="Times New Roman" w:eastAsia="仿宋_GB2312"/>
          <w:sz w:val="32"/>
          <w:szCs w:val="32"/>
        </w:rPr>
      </w:pPr>
      <w:r>
        <w:rPr>
          <w:rFonts w:hint="eastAsia" w:ascii="仿宋_GB2312" w:hAnsi="Times New Roman" w:eastAsia="仿宋_GB2312"/>
          <w:sz w:val="32"/>
          <w:szCs w:val="32"/>
        </w:rPr>
        <w:t>江苏省财政厅</w:t>
      </w:r>
      <w:r>
        <w:rPr>
          <w:rFonts w:ascii="仿宋_GB2312" w:hAnsi="Times New Roman" w:eastAsia="仿宋_GB2312"/>
          <w:sz w:val="32"/>
          <w:szCs w:val="32"/>
        </w:rPr>
        <w:t xml:space="preserve">        </w:t>
      </w:r>
      <w:r>
        <w:rPr>
          <w:rFonts w:hint="eastAsia" w:ascii="仿宋_GB2312" w:hAnsi="Times New Roman" w:eastAsia="仿宋_GB2312"/>
          <w:sz w:val="32"/>
          <w:szCs w:val="32"/>
        </w:rPr>
        <w:t>国家税务总局江苏省税务局</w:t>
      </w:r>
    </w:p>
    <w:p>
      <w:pPr>
        <w:spacing w:line="590" w:lineRule="exact"/>
        <w:ind w:firstLine="160" w:firstLineChars="50"/>
        <w:rPr>
          <w:rFonts w:ascii="仿宋_GB2312" w:hAnsi="Times New Roman" w:eastAsia="仿宋_GB2312"/>
          <w:sz w:val="32"/>
          <w:szCs w:val="32"/>
        </w:rPr>
      </w:pPr>
    </w:p>
    <w:p>
      <w:pPr>
        <w:spacing w:line="590" w:lineRule="exact"/>
        <w:ind w:firstLine="160" w:firstLineChars="50"/>
        <w:rPr>
          <w:rFonts w:ascii="仿宋_GB2312" w:hAnsi="Times New Roman" w:eastAsia="仿宋_GB2312"/>
          <w:sz w:val="32"/>
          <w:szCs w:val="32"/>
        </w:rPr>
      </w:pPr>
    </w:p>
    <w:p>
      <w:pPr>
        <w:spacing w:line="590" w:lineRule="exact"/>
        <w:ind w:firstLine="160" w:firstLineChars="50"/>
        <w:rPr>
          <w:rFonts w:ascii="仿宋_GB2312" w:hAnsi="Times New Roman" w:eastAsia="仿宋_GB2312"/>
          <w:sz w:val="32"/>
          <w:szCs w:val="32"/>
        </w:rPr>
      </w:pPr>
    </w:p>
    <w:p>
      <w:pPr>
        <w:spacing w:line="590" w:lineRule="exact"/>
        <w:ind w:firstLine="960" w:firstLineChars="300"/>
        <w:rPr>
          <w:rFonts w:ascii="仿宋_GB2312" w:hAnsi="Times New Roman" w:eastAsia="仿宋_GB2312"/>
          <w:sz w:val="32"/>
          <w:szCs w:val="32"/>
        </w:rPr>
      </w:pPr>
      <w:r>
        <w:rPr>
          <w:rFonts w:ascii="仿宋_GB2312" w:hAnsi="Times New Roman" w:eastAsia="仿宋_GB2312"/>
          <w:sz w:val="32"/>
          <w:szCs w:val="32"/>
        </w:rPr>
        <w:t xml:space="preserve">                       </w:t>
      </w:r>
      <w:r>
        <w:rPr>
          <w:rFonts w:hint="eastAsia" w:ascii="仿宋_GB2312" w:hAnsi="Times New Roman" w:eastAsia="仿宋_GB2312"/>
          <w:sz w:val="32"/>
          <w:szCs w:val="32"/>
        </w:rPr>
        <w:t>江苏省发展改革委</w:t>
      </w:r>
    </w:p>
    <w:p>
      <w:pPr>
        <w:spacing w:line="590" w:lineRule="exact"/>
        <w:ind w:right="640"/>
        <w:jc w:val="center"/>
        <w:rPr>
          <w:rFonts w:ascii="仿宋_GB2312" w:hAnsi="Times New Roman" w:eastAsia="仿宋_GB2312"/>
          <w:sz w:val="32"/>
          <w:szCs w:val="32"/>
        </w:rPr>
      </w:pPr>
      <w:r>
        <w:rPr>
          <w:rFonts w:ascii="仿宋_GB2312" w:hAnsi="Times New Roman" w:eastAsia="仿宋_GB2312"/>
          <w:sz w:val="32"/>
          <w:szCs w:val="32"/>
        </w:rPr>
        <w:t xml:space="preserve">                        2019</w:t>
      </w:r>
      <w:r>
        <w:rPr>
          <w:rFonts w:hint="eastAsia" w:ascii="仿宋_GB2312" w:hAnsi="Times New Roman" w:eastAsia="仿宋_GB2312"/>
          <w:sz w:val="32"/>
          <w:szCs w:val="32"/>
        </w:rPr>
        <w:t>年</w:t>
      </w:r>
      <w:r>
        <w:rPr>
          <w:rFonts w:ascii="仿宋_GB2312" w:hAnsi="Times New Roman" w:eastAsia="仿宋_GB2312"/>
          <w:sz w:val="32"/>
          <w:szCs w:val="32"/>
        </w:rPr>
        <w:t>8</w:t>
      </w:r>
      <w:r>
        <w:rPr>
          <w:rFonts w:hint="eastAsia" w:ascii="仿宋_GB2312" w:hAnsi="Times New Roman" w:eastAsia="仿宋_GB2312"/>
          <w:sz w:val="32"/>
          <w:szCs w:val="32"/>
        </w:rPr>
        <w:t>月</w:t>
      </w:r>
      <w:r>
        <w:rPr>
          <w:rFonts w:ascii="仿宋_GB2312" w:hAnsi="Times New Roman" w:eastAsia="仿宋_GB2312"/>
          <w:sz w:val="32"/>
          <w:szCs w:val="32"/>
        </w:rPr>
        <w:t>9</w:t>
      </w:r>
      <w:r>
        <w:rPr>
          <w:rFonts w:hint="eastAsia" w:ascii="仿宋_GB2312" w:hAnsi="Times New Roman" w:eastAsia="仿宋_GB2312"/>
          <w:sz w:val="32"/>
          <w:szCs w:val="32"/>
        </w:rPr>
        <w:t>日</w:t>
      </w:r>
    </w:p>
    <w:p>
      <w:pPr>
        <w:widowControl/>
        <w:spacing w:line="590" w:lineRule="exact"/>
        <w:jc w:val="left"/>
        <w:rPr>
          <w:rFonts w:ascii="仿宋_GB2312" w:hAnsi="Times New Roman" w:eastAsia="仿宋_GB2312"/>
          <w:sz w:val="32"/>
          <w:szCs w:val="32"/>
        </w:rPr>
      </w:pPr>
    </w:p>
    <w:p>
      <w:pPr>
        <w:widowControl/>
        <w:spacing w:line="590" w:lineRule="exact"/>
        <w:jc w:val="left"/>
        <w:rPr>
          <w:rFonts w:ascii="Times New Roman" w:hAnsi="Times New Roman" w:eastAsia="方正黑体_GBK"/>
          <w:sz w:val="32"/>
          <w:szCs w:val="32"/>
        </w:rPr>
      </w:pPr>
    </w:p>
    <w:p>
      <w:pPr>
        <w:widowControl/>
        <w:spacing w:line="590" w:lineRule="exact"/>
        <w:jc w:val="left"/>
        <w:rPr>
          <w:rFonts w:ascii="Times New Roman" w:hAnsi="Times New Roman" w:eastAsia="方正黑体_GBK"/>
          <w:sz w:val="32"/>
          <w:szCs w:val="32"/>
        </w:rPr>
      </w:pPr>
    </w:p>
    <w:p>
      <w:pPr>
        <w:widowControl/>
        <w:spacing w:line="590" w:lineRule="exact"/>
        <w:jc w:val="left"/>
        <w:rPr>
          <w:rFonts w:ascii="Times New Roman" w:hAnsi="Times New Roman" w:eastAsia="方正黑体_GBK"/>
          <w:sz w:val="32"/>
          <w:szCs w:val="32"/>
        </w:rPr>
      </w:pPr>
    </w:p>
    <w:p>
      <w:pPr>
        <w:widowControl/>
        <w:spacing w:line="590" w:lineRule="exact"/>
        <w:jc w:val="left"/>
        <w:rPr>
          <w:rFonts w:ascii="Times New Roman" w:hAnsi="Times New Roman" w:eastAsia="方正黑体_GBK"/>
          <w:sz w:val="32"/>
          <w:szCs w:val="32"/>
        </w:rPr>
      </w:pPr>
    </w:p>
    <w:p>
      <w:pPr>
        <w:spacing w:line="500" w:lineRule="exact"/>
      </w:pPr>
      <w:r>
        <w:rPr>
          <w:b/>
        </w:rPr>
        <w:object>
          <v:shape id="_x0000_i1026" o:spt="75" type="#_x0000_t75" style="height:1.8pt;width:438pt;" o:ole="t" filled="f" o:preferrelative="t" stroked="f" coordsize="21600,21600">
            <v:path/>
            <v:fill on="f" focussize="0,0"/>
            <v:stroke on="f" joinstyle="miter"/>
            <v:imagedata r:id="rId7" o:title=""/>
            <o:lock v:ext="edit" aspectratio="f"/>
            <w10:wrap type="none"/>
            <w10:anchorlock/>
          </v:shape>
          <o:OLEObject Type="Embed" ProgID="MSDraw" ShapeID="_x0000_i1026" DrawAspect="Content" ObjectID="_1468075726" r:id="rId6">
            <o:LockedField>false</o:LockedField>
          </o:OLEObject>
        </w:object>
      </w:r>
    </w:p>
    <w:p>
      <w:pPr>
        <w:pStyle w:val="6"/>
        <w:tabs>
          <w:tab w:val="right" w:pos="8533"/>
          <w:tab w:val="clear" w:pos="8465"/>
        </w:tabs>
        <w:spacing w:line="454" w:lineRule="exact"/>
        <w:ind w:left="312" w:right="0"/>
        <w:rPr>
          <w:rFonts w:ascii="仿宋_GB2312" w:eastAsia="仿宋_GB2312"/>
          <w:sz w:val="28"/>
          <w:szCs w:val="28"/>
        </w:rPr>
      </w:pPr>
      <w:r>
        <w:rPr>
          <w:rFonts w:hint="eastAsia" w:ascii="仿宋_GB2312" w:eastAsia="仿宋_GB2312"/>
          <w:sz w:val="28"/>
          <w:szCs w:val="28"/>
        </w:rPr>
        <w:t>江苏省科学技术厅办公室</w:t>
      </w:r>
      <w:r>
        <w:rPr>
          <w:rFonts w:ascii="仿宋_GB2312" w:eastAsia="仿宋_GB2312"/>
          <w:sz w:val="28"/>
          <w:szCs w:val="28"/>
        </w:rPr>
        <w:tab/>
      </w:r>
      <w:r>
        <w:rPr>
          <w:rFonts w:ascii="仿宋_GB2312" w:eastAsia="仿宋_GB2312"/>
          <w:sz w:val="28"/>
          <w:szCs w:val="28"/>
        </w:rPr>
        <w:t>2019</w:t>
      </w:r>
      <w:r>
        <w:rPr>
          <w:rFonts w:hint="eastAsia" w:ascii="仿宋_GB2312" w:eastAsia="仿宋_GB2312"/>
          <w:sz w:val="28"/>
          <w:szCs w:val="28"/>
        </w:rPr>
        <w:t>年</w:t>
      </w:r>
      <w:r>
        <w:rPr>
          <w:rFonts w:ascii="仿宋_GB2312" w:eastAsia="仿宋_GB2312"/>
          <w:sz w:val="28"/>
          <w:szCs w:val="28"/>
        </w:rPr>
        <w:t>8</w:t>
      </w:r>
      <w:r>
        <w:rPr>
          <w:rFonts w:hint="eastAsia" w:ascii="仿宋_GB2312" w:eastAsia="仿宋_GB2312"/>
          <w:sz w:val="28"/>
          <w:szCs w:val="28"/>
        </w:rPr>
        <w:t>月</w:t>
      </w:r>
      <w:r>
        <w:rPr>
          <w:rFonts w:ascii="仿宋_GB2312" w:eastAsia="仿宋_GB2312"/>
          <w:sz w:val="28"/>
          <w:szCs w:val="28"/>
        </w:rPr>
        <w:t>9</w:t>
      </w:r>
      <w:r>
        <w:rPr>
          <w:rFonts w:hint="eastAsia" w:ascii="仿宋_GB2312" w:eastAsia="仿宋_GB2312"/>
          <w:sz w:val="28"/>
          <w:szCs w:val="28"/>
        </w:rPr>
        <w:t>日印发</w:t>
      </w:r>
    </w:p>
    <w:p>
      <w:pPr>
        <w:spacing w:line="500" w:lineRule="exact"/>
      </w:pPr>
      <w:r>
        <w:object>
          <v:shape id="_x0000_i1027" o:spt="75" type="#_x0000_t75" style="height:1.8pt;width:438pt;" o:ole="t" filled="f" o:preferrelative="t" stroked="f" coordsize="21600,21600">
            <v:path/>
            <v:fill on="f" focussize="0,0"/>
            <v:stroke on="f" joinstyle="miter"/>
            <v:imagedata r:id="rId7" o:title=""/>
            <o:lock v:ext="edit" aspectratio="f"/>
            <w10:wrap type="none"/>
            <w10:anchorlock/>
          </v:shape>
          <o:OLEObject Type="Embed" ProgID="MSDraw" ShapeID="_x0000_i1027" DrawAspect="Content" ObjectID="_1468075727" r:id="rId8">
            <o:LockedField>false</o:LockedField>
          </o:OLEObject>
        </w:object>
      </w:r>
    </w:p>
    <w:p>
      <w:bookmarkStart w:id="0" w:name="_GoBack"/>
      <w:bookmarkEnd w:id="0"/>
    </w:p>
    <w:sectPr>
      <w:pgSz w:w="11907" w:h="16840"/>
      <w:pgMar w:top="1701" w:right="1418" w:bottom="141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书宋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77C06"/>
    <w:multiLevelType w:val="multilevel"/>
    <w:tmpl w:val="72877C06"/>
    <w:lvl w:ilvl="0" w:tentative="0">
      <w:start w:val="2"/>
      <w:numFmt w:val="japaneseCounting"/>
      <w:lvlText w:val="%1、"/>
      <w:lvlJc w:val="left"/>
      <w:pPr>
        <w:ind w:left="1360" w:hanging="72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32DCC"/>
    <w:rsid w:val="37132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Indent"/>
    <w:basedOn w:val="1"/>
    <w:semiHidden/>
    <w:qFormat/>
    <w:uiPriority w:val="99"/>
    <w:pPr>
      <w:ind w:firstLine="420" w:firstLineChars="200"/>
    </w:pPr>
  </w:style>
  <w:style w:type="paragraph" w:styleId="5">
    <w:name w:val="List Paragraph"/>
    <w:basedOn w:val="1"/>
    <w:qFormat/>
    <w:uiPriority w:val="99"/>
    <w:pPr>
      <w:ind w:firstLine="420" w:firstLineChars="200"/>
    </w:pPr>
  </w:style>
  <w:style w:type="paragraph" w:customStyle="1" w:styleId="6">
    <w:name w:val="印发栏"/>
    <w:basedOn w:val="2"/>
    <w:qFormat/>
    <w:uiPriority w:val="99"/>
    <w:pPr>
      <w:tabs>
        <w:tab w:val="right" w:pos="8465"/>
      </w:tabs>
      <w:autoSpaceDE w:val="0"/>
      <w:autoSpaceDN w:val="0"/>
      <w:adjustRightInd w:val="0"/>
      <w:spacing w:line="454" w:lineRule="atLeast"/>
      <w:ind w:left="357" w:right="357" w:firstLine="0" w:firstLineChars="0"/>
      <w:jc w:val="left"/>
    </w:pPr>
    <w:rPr>
      <w:rFonts w:ascii="Times New Roman" w:hAnsi="Times New Roman" w:eastAsia="方正仿宋_GBK"/>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2019-08-21T08:32:00Z</dcterms:created>
  <dc:creator>Lee</dc:creator>
  <cp:lastModifiedBy>Lee</cp:lastModifiedBy>
  <dcterms:modified xsi:type="dcterms:W3CDTF">2019-08-21T08:34:25Z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